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2190731</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וארבע</w:t>
      </w:r>
      <w:bookmarkEnd w:id="1"/>
    </w:p>
    <w:p w14:paraId="7F6961A3" w14:textId="77777777" w:rsidR="00E13C27" w:rsidRPr="00F67051" w:rsidRDefault="00E13C27" w:rsidP="00E13C27">
      <w:pPr>
        <w:rPr>
          <w:rFonts w:cs="David"/>
          <w:b/>
          <w:bCs/>
          <w:sz w:val="26"/>
          <w:szCs w:val="26"/>
          <w:rtl/>
        </w:rPr>
      </w:pPr>
    </w:p>
    <w:p w14:paraId="7F6961A6" w14:textId="77777777" w:rsidR="00E13C27" w:rsidRDefault="008F6665" w:rsidP="00930EFE">
      <w:pPr>
        <w:pStyle w:val="David"/>
        <w:spacing w:line="360" w:lineRule="auto"/>
        <w:ind w:left="3544"/>
        <w:rPr>
          <w:b/>
          <w:bCs/>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אורי מקלב</w:t>
      </w:r>
      <w:r>
        <w:br/>
      </w:r>
      <w:r>
        <w:rPr>
          <w:rFonts w:hint="cs"/>
          <w:b/>
          <w:bCs/>
          <w:rtl/>
        </w:rPr>
        <w:t xml:space="preserve"> </w:t>
      </w:r>
      <w:r>
        <w:tab/>
      </w:r>
      <w:r>
        <w:tab/>
      </w:r>
      <w:r>
        <w:tab/>
      </w:r>
      <w:r>
        <w:tab/>
      </w:r>
      <w:r>
        <w:rPr>
          <w:rFonts w:hint="cs"/>
          <w:b/>
          <w:bCs/>
          <w:rtl/>
        </w:rPr>
        <w:t>משה גפני</w:t>
      </w:r>
      <w:r>
        <w:br/>
      </w:r>
      <w:r>
        <w:rPr>
          <w:rFonts w:hint="cs"/>
          <w:b/>
          <w:bCs/>
          <w:rtl/>
        </w:rPr>
        <w:t xml:space="preserve"> </w:t>
      </w:r>
      <w:r>
        <w:tab/>
      </w:r>
      <w:r>
        <w:tab/>
      </w:r>
      <w:r>
        <w:tab/>
      </w:r>
      <w:r>
        <w:tab/>
      </w:r>
      <w:r>
        <w:rPr>
          <w:rFonts w:hint="cs"/>
          <w:b/>
          <w:bCs/>
          <w:rtl/>
        </w:rPr>
        <w:t>יעקב אשר</w:t>
      </w:r>
      <w:r>
        <w:br/>
      </w:r>
      <w:r>
        <w:rPr>
          <w:rFonts w:hint="cs"/>
          <w:b/>
          <w:bCs/>
          <w:rtl/>
        </w:rPr>
        <w:t xml:space="preserve"> </w:t>
      </w:r>
      <w:r>
        <w:tab/>
      </w:r>
      <w:r>
        <w:tab/>
      </w:r>
      <w:r>
        <w:tab/>
      </w:r>
      <w:r>
        <w:tab/>
      </w:r>
      <w:r>
        <w:rPr>
          <w:rFonts w:hint="cs"/>
          <w:b/>
          <w:bCs/>
          <w:rtl/>
        </w:rPr>
        <w:t>יצחק פינדרוס</w:t>
      </w:r>
      <w:bookmarkEnd w:id="3"/>
    </w:p>
    <w:p w14:paraId="7F6961AA" w14:textId="39F9D96B" w:rsidR="00E13C27" w:rsidRPr="00CF1AA2" w:rsidRDefault="007D585A" w:rsidP="0036422C">
      <w:pPr>
        <w:pStyle w:val="David"/>
        <w:spacing w:before="0" w:line="360" w:lineRule="auto"/>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פ/3717/24</w:t>
      </w:r>
      <w:bookmarkEnd w:id="6"/>
    </w:p>
    <w:p w14:paraId="7F6961AD" w14:textId="77777777" w:rsidR="00E13C27" w:rsidRPr="00F67051" w:rsidRDefault="00A443CF" w:rsidP="0021633A">
      <w:pPr>
        <w:pStyle w:val="HeadHatzaotHok"/>
        <w:rPr>
          <w:rtl/>
        </w:rPr>
      </w:pPr>
      <w:bookmarkStart w:id="7" w:name="LGS_Subject"/>
      <w:r>
        <w:rPr>
          <w:rFonts w:hint="cs"/>
          <w:rtl/>
        </w:rPr>
        <w:t>הצעת חוק הנוטריונים (תיקון – ביטול תעריף מינימום לשירות נוטריוני), התשפ"ב–2022</w:t>
      </w:r>
      <w:bookmarkEnd w:id="7"/>
    </w:p>
    <w:p w14:paraId="7F6961AE" w14:textId="77777777" w:rsidR="00E13C27" w:rsidRDefault="00E13C27" w:rsidP="0021633A">
      <w:pPr>
        <w:pStyle w:val="HeadDivreiHesber"/>
        <w:spacing w:before="0" w:after="0"/>
        <w:rPr>
          <w:rtl/>
        </w:rPr>
      </w:pPr>
    </w:p>
    <w:tbl>
      <w:tblPr>
        <w:bidiVisual/>
        <w:tblW w:w="9638" w:type="dxa"/>
        <w:tblLayout w:type="fixed"/>
        <w:tblCellMar>
          <w:top w:w="57" w:type="dxa"/>
          <w:left w:w="0" w:type="dxa"/>
          <w:bottom w:w="57" w:type="dxa"/>
          <w:right w:w="0" w:type="dxa"/>
        </w:tblCellMar>
        <w:tblLook w:val="0000" w:firstRow="0" w:lastRow="0" w:firstColumn="0" w:lastColumn="0" w:noHBand="0" w:noVBand="0"/>
      </w:tblPr>
      <w:tblGrid>
        <w:gridCol w:w="1871"/>
        <w:gridCol w:w="624"/>
        <w:gridCol w:w="7143"/>
      </w:tblGrid>
      <w:tr w:rsidR="009C04B9" w:rsidRPr="00741C94" w14:paraId="2FF9DA1F" w14:textId="77777777" w:rsidTr="00F06926">
        <w:trPr>
          <w:cantSplit/>
        </w:trPr>
        <w:tc>
          <w:tcPr>
            <w:tcW w:w="1871" w:type="dxa"/>
          </w:tcPr>
          <w:p w14:paraId="13505FC2" w14:textId="77777777" w:rsidR="009C04B9" w:rsidRPr="001B0955" w:rsidRDefault="009C04B9" w:rsidP="00F06926">
            <w:pPr>
              <w:pStyle w:val="TableSideHeading"/>
              <w:ind w:right="0"/>
            </w:pPr>
            <w:r w:rsidRPr="001B0955">
              <w:rPr>
                <w:rtl/>
              </w:rPr>
              <w:t xml:space="preserve">תיקון סעיף </w:t>
            </w:r>
            <w:r w:rsidRPr="001B0955">
              <w:rPr>
                <w:rFonts w:hint="cs"/>
                <w:rtl/>
              </w:rPr>
              <w:t>34</w:t>
            </w:r>
          </w:p>
        </w:tc>
        <w:tc>
          <w:tcPr>
            <w:tcW w:w="624" w:type="dxa"/>
          </w:tcPr>
          <w:p w14:paraId="0D76607C" w14:textId="77777777" w:rsidR="009C04B9" w:rsidRPr="004E1532" w:rsidRDefault="009C04B9" w:rsidP="00F06926">
            <w:pPr>
              <w:pStyle w:val="TableText"/>
              <w:ind w:right="0"/>
              <w:jc w:val="both"/>
            </w:pPr>
            <w:r w:rsidRPr="001B0955">
              <w:rPr>
                <w:rtl/>
              </w:rPr>
              <w:t>1.</w:t>
            </w:r>
          </w:p>
        </w:tc>
        <w:tc>
          <w:tcPr>
            <w:tcW w:w="7143" w:type="dxa"/>
          </w:tcPr>
          <w:p w14:paraId="116021B5" w14:textId="77777777" w:rsidR="009C04B9" w:rsidRPr="001E4BF2" w:rsidRDefault="009C04B9" w:rsidP="00F06926">
            <w:pPr>
              <w:pStyle w:val="TableBlock"/>
            </w:pPr>
            <w:r w:rsidRPr="001E4BF2">
              <w:rPr>
                <w:rtl/>
              </w:rPr>
              <w:t xml:space="preserve">בחוק </w:t>
            </w:r>
            <w:r w:rsidRPr="001E4BF2">
              <w:rPr>
                <w:rFonts w:hint="cs"/>
                <w:rtl/>
              </w:rPr>
              <w:t>הנוטריונים</w:t>
            </w:r>
            <w:r w:rsidRPr="001E4BF2">
              <w:rPr>
                <w:rtl/>
              </w:rPr>
              <w:t xml:space="preserve">, </w:t>
            </w:r>
            <w:r>
              <w:rPr>
                <w:rFonts w:hint="cs"/>
                <w:rtl/>
              </w:rPr>
              <w:t>ה</w:t>
            </w:r>
            <w:r w:rsidRPr="001E4BF2">
              <w:rPr>
                <w:rFonts w:hint="cs"/>
                <w:rtl/>
              </w:rPr>
              <w:t>תשל</w:t>
            </w:r>
            <w:r w:rsidRPr="001E4BF2">
              <w:rPr>
                <w:rtl/>
              </w:rPr>
              <w:t>"</w:t>
            </w:r>
            <w:r w:rsidRPr="001E4BF2">
              <w:rPr>
                <w:rFonts w:hint="cs"/>
                <w:rtl/>
              </w:rPr>
              <w:t>ו</w:t>
            </w:r>
            <w:r>
              <w:rPr>
                <w:rFonts w:hint="cs"/>
                <w:rtl/>
              </w:rPr>
              <w:t>–</w:t>
            </w:r>
            <w:r w:rsidRPr="001E4BF2">
              <w:rPr>
                <w:rtl/>
              </w:rPr>
              <w:t>1976</w:t>
            </w:r>
            <w:r w:rsidRPr="00580FB4">
              <w:rPr>
                <w:rStyle w:val="a5"/>
                <w:rtl/>
              </w:rPr>
              <w:footnoteReference w:id="2"/>
            </w:r>
            <w:r w:rsidRPr="001E4BF2">
              <w:rPr>
                <w:rtl/>
              </w:rPr>
              <w:t xml:space="preserve">, בסעיף </w:t>
            </w:r>
            <w:r w:rsidRPr="001E4BF2">
              <w:rPr>
                <w:rFonts w:hint="cs"/>
                <w:rtl/>
              </w:rPr>
              <w:t>34(5)</w:t>
            </w:r>
            <w:r>
              <w:rPr>
                <w:rFonts w:hint="cs"/>
                <w:rtl/>
              </w:rPr>
              <w:t>,</w:t>
            </w:r>
            <w:r w:rsidRPr="00A040B0">
              <w:rPr>
                <w:rtl/>
              </w:rPr>
              <w:t xml:space="preserve"> </w:t>
            </w:r>
            <w:r>
              <w:rPr>
                <w:rFonts w:hint="cs"/>
                <w:rtl/>
              </w:rPr>
              <w:t>הסיפה החל ב</w:t>
            </w:r>
            <w:r w:rsidRPr="00A040B0">
              <w:rPr>
                <w:rtl/>
              </w:rPr>
              <w:t>מיל</w:t>
            </w:r>
            <w:r w:rsidRPr="00A040B0">
              <w:rPr>
                <w:rFonts w:hint="cs"/>
                <w:rtl/>
              </w:rPr>
              <w:t>ים</w:t>
            </w:r>
            <w:r w:rsidRPr="00A040B0">
              <w:rPr>
                <w:rtl/>
              </w:rPr>
              <w:t xml:space="preserve"> "</w:t>
            </w:r>
            <w:r w:rsidRPr="00A040B0">
              <w:rPr>
                <w:rFonts w:hint="cs"/>
                <w:rtl/>
              </w:rPr>
              <w:t>או</w:t>
            </w:r>
            <w:r w:rsidRPr="00A040B0">
              <w:rPr>
                <w:rtl/>
              </w:rPr>
              <w:t xml:space="preserve"> </w:t>
            </w:r>
            <w:r w:rsidRPr="00A040B0">
              <w:rPr>
                <w:rFonts w:hint="cs"/>
                <w:rtl/>
              </w:rPr>
              <w:t>גבה</w:t>
            </w:r>
            <w:r w:rsidRPr="00A040B0">
              <w:rPr>
                <w:rtl/>
              </w:rPr>
              <w:t xml:space="preserve"> </w:t>
            </w:r>
            <w:r w:rsidRPr="00A040B0">
              <w:rPr>
                <w:rFonts w:hint="cs"/>
                <w:rtl/>
              </w:rPr>
              <w:t>או</w:t>
            </w:r>
            <w:r w:rsidRPr="00A040B0">
              <w:rPr>
                <w:rtl/>
              </w:rPr>
              <w:t xml:space="preserve"> </w:t>
            </w:r>
            <w:r w:rsidRPr="00A040B0">
              <w:rPr>
                <w:rFonts w:hint="cs"/>
                <w:rtl/>
              </w:rPr>
              <w:t>דרש</w:t>
            </w:r>
            <w:r w:rsidRPr="00A040B0">
              <w:rPr>
                <w:rtl/>
              </w:rPr>
              <w:t xml:space="preserve">" – </w:t>
            </w:r>
            <w:r>
              <w:rPr>
                <w:rFonts w:hint="cs"/>
                <w:rtl/>
              </w:rPr>
              <w:t>ת</w:t>
            </w:r>
            <w:r w:rsidRPr="00A040B0">
              <w:rPr>
                <w:rFonts w:hint="cs"/>
                <w:rtl/>
              </w:rPr>
              <w:t>ימחק</w:t>
            </w:r>
            <w:r>
              <w:rPr>
                <w:rFonts w:hint="cs"/>
                <w:rtl/>
              </w:rPr>
              <w:t>.</w:t>
            </w:r>
          </w:p>
        </w:tc>
      </w:tr>
    </w:tbl>
    <w:p w14:paraId="1F31A809" w14:textId="77777777" w:rsidR="009C04B9" w:rsidRPr="001B0955" w:rsidRDefault="009C04B9" w:rsidP="009C04B9">
      <w:pPr>
        <w:pStyle w:val="HeadDivreiHesber"/>
        <w:rPr>
          <w:rtl/>
        </w:rPr>
      </w:pPr>
      <w:r w:rsidRPr="001B0955">
        <w:rPr>
          <w:rtl/>
        </w:rPr>
        <w:t>דברי הסבר</w:t>
      </w:r>
    </w:p>
    <w:p w14:paraId="4F0833C4" w14:textId="77777777" w:rsidR="009C04B9" w:rsidRPr="0060549D" w:rsidRDefault="009C04B9" w:rsidP="009C04B9">
      <w:pPr>
        <w:pStyle w:val="Hesber"/>
        <w:rPr>
          <w:rtl/>
        </w:rPr>
      </w:pPr>
      <w:r w:rsidRPr="0060549D">
        <w:rPr>
          <w:rFonts w:hint="cs"/>
          <w:rtl/>
        </w:rPr>
        <w:t>לשירותי נוטריון נקבע מחיר המפורסם בתקנות הנוטריונים</w:t>
      </w:r>
      <w:r w:rsidRPr="0060549D">
        <w:rPr>
          <w:rtl/>
        </w:rPr>
        <w:t xml:space="preserve"> (</w:t>
      </w:r>
      <w:r w:rsidRPr="0060549D">
        <w:rPr>
          <w:rFonts w:hint="cs"/>
          <w:rtl/>
        </w:rPr>
        <w:t>שכר</w:t>
      </w:r>
      <w:r w:rsidRPr="0060549D">
        <w:rPr>
          <w:rtl/>
        </w:rPr>
        <w:t xml:space="preserve"> </w:t>
      </w:r>
      <w:r w:rsidRPr="0060549D">
        <w:rPr>
          <w:rFonts w:hint="cs"/>
          <w:rtl/>
        </w:rPr>
        <w:t>שירותים</w:t>
      </w:r>
      <w:r w:rsidRPr="0060549D">
        <w:rPr>
          <w:rtl/>
        </w:rPr>
        <w:t xml:space="preserve">), </w:t>
      </w:r>
      <w:r w:rsidRPr="0060549D">
        <w:rPr>
          <w:rFonts w:hint="cs"/>
          <w:rtl/>
        </w:rPr>
        <w:t>התשל</w:t>
      </w:r>
      <w:r w:rsidRPr="0060549D">
        <w:rPr>
          <w:rtl/>
        </w:rPr>
        <w:t>"</w:t>
      </w:r>
      <w:r w:rsidRPr="0060549D">
        <w:rPr>
          <w:rFonts w:hint="cs"/>
          <w:rtl/>
        </w:rPr>
        <w:t>ט</w:t>
      </w:r>
      <w:r w:rsidRPr="0060549D">
        <w:rPr>
          <w:rFonts w:hint="eastAsia"/>
          <w:rtl/>
        </w:rPr>
        <w:t>–</w:t>
      </w:r>
      <w:r w:rsidRPr="0060549D">
        <w:rPr>
          <w:rtl/>
        </w:rPr>
        <w:t>1978</w:t>
      </w:r>
      <w:r>
        <w:rPr>
          <w:rFonts w:hint="cs"/>
          <w:rtl/>
        </w:rPr>
        <w:t xml:space="preserve"> (להלן </w:t>
      </w:r>
      <w:r>
        <w:rPr>
          <w:rtl/>
        </w:rPr>
        <w:t>–</w:t>
      </w:r>
      <w:r>
        <w:rPr>
          <w:rFonts w:hint="cs"/>
          <w:rtl/>
        </w:rPr>
        <w:t xml:space="preserve"> התקנות)</w:t>
      </w:r>
      <w:r w:rsidRPr="0060549D">
        <w:rPr>
          <w:rFonts w:hint="cs"/>
          <w:rtl/>
        </w:rPr>
        <w:t>, אשר מתעדכן מעת לעת בהתאם לעליית המדד.</w:t>
      </w:r>
    </w:p>
    <w:p w14:paraId="65DE1892" w14:textId="1F566E1F" w:rsidR="009C04B9" w:rsidRPr="0060549D" w:rsidRDefault="009C04B9" w:rsidP="00C467F5">
      <w:pPr>
        <w:pStyle w:val="Hesber"/>
        <w:rPr>
          <w:rtl/>
        </w:rPr>
      </w:pPr>
      <w:r w:rsidRPr="0060549D">
        <w:rPr>
          <w:rtl/>
        </w:rPr>
        <w:t>על נוטריון הנותן שירותים נוטריוניים</w:t>
      </w:r>
      <w:r w:rsidR="00C467F5">
        <w:rPr>
          <w:rFonts w:hint="cs"/>
          <w:rtl/>
        </w:rPr>
        <w:t>,</w:t>
      </w:r>
      <w:r w:rsidRPr="0060549D">
        <w:rPr>
          <w:rtl/>
        </w:rPr>
        <w:t xml:space="preserve"> חלה חובה לגבות שכר עבור שירות</w:t>
      </w:r>
      <w:r w:rsidR="00C467F5">
        <w:rPr>
          <w:rtl/>
        </w:rPr>
        <w:t>ים נוטריונים בהתאם לאמור בתקנות</w:t>
      </w:r>
      <w:r w:rsidR="00C467F5">
        <w:rPr>
          <w:rFonts w:hint="cs"/>
          <w:rtl/>
        </w:rPr>
        <w:t xml:space="preserve">, לפי </w:t>
      </w:r>
      <w:r w:rsidRPr="0060549D">
        <w:rPr>
          <w:rtl/>
        </w:rPr>
        <w:t xml:space="preserve">סעיף 34 לחוק הנוטריונים, </w:t>
      </w:r>
      <w:r w:rsidRPr="0060549D">
        <w:rPr>
          <w:rFonts w:hint="cs"/>
          <w:rtl/>
        </w:rPr>
        <w:t>התשל</w:t>
      </w:r>
      <w:r w:rsidRPr="0060549D">
        <w:rPr>
          <w:rtl/>
        </w:rPr>
        <w:t>"</w:t>
      </w:r>
      <w:r w:rsidRPr="0060549D">
        <w:rPr>
          <w:rFonts w:hint="cs"/>
          <w:rtl/>
        </w:rPr>
        <w:t>ו–</w:t>
      </w:r>
      <w:r w:rsidRPr="0060549D">
        <w:rPr>
          <w:rtl/>
        </w:rPr>
        <w:t>1976</w:t>
      </w:r>
      <w:r w:rsidRPr="0060549D">
        <w:rPr>
          <w:rFonts w:hint="cs"/>
          <w:rtl/>
        </w:rPr>
        <w:t xml:space="preserve">, </w:t>
      </w:r>
      <w:r w:rsidR="00C467F5">
        <w:rPr>
          <w:rFonts w:hint="cs"/>
          <w:rtl/>
        </w:rPr>
        <w:t>ה</w:t>
      </w:r>
      <w:r w:rsidRPr="0060549D">
        <w:rPr>
          <w:rFonts w:hint="cs"/>
          <w:rtl/>
        </w:rPr>
        <w:t>קובע, כי "נוטריון</w:t>
      </w:r>
      <w:r w:rsidRPr="0060549D">
        <w:rPr>
          <w:rtl/>
        </w:rPr>
        <w:t xml:space="preserve"> </w:t>
      </w:r>
      <w:r w:rsidRPr="0060549D">
        <w:rPr>
          <w:rFonts w:hint="cs"/>
          <w:rtl/>
        </w:rPr>
        <w:t>אשם</w:t>
      </w:r>
      <w:r w:rsidRPr="0060549D">
        <w:rPr>
          <w:rtl/>
        </w:rPr>
        <w:t xml:space="preserve"> </w:t>
      </w:r>
      <w:r w:rsidRPr="0060549D">
        <w:rPr>
          <w:rFonts w:hint="cs"/>
          <w:rtl/>
        </w:rPr>
        <w:t>בעבירת</w:t>
      </w:r>
      <w:r w:rsidRPr="0060549D">
        <w:rPr>
          <w:rtl/>
        </w:rPr>
        <w:t xml:space="preserve"> </w:t>
      </w:r>
      <w:r w:rsidRPr="0060549D">
        <w:rPr>
          <w:rFonts w:hint="cs"/>
          <w:rtl/>
        </w:rPr>
        <w:t>משמעת</w:t>
      </w:r>
      <w:r w:rsidRPr="0060549D">
        <w:rPr>
          <w:rtl/>
        </w:rPr>
        <w:t xml:space="preserve"> אם –</w:t>
      </w:r>
      <w:r w:rsidRPr="0060549D">
        <w:rPr>
          <w:rFonts w:hint="cs"/>
          <w:rtl/>
        </w:rPr>
        <w:t xml:space="preserve"> ... </w:t>
      </w:r>
      <w:r w:rsidRPr="0060549D">
        <w:rPr>
          <w:rtl/>
        </w:rPr>
        <w:t xml:space="preserve">(5) </w:t>
      </w:r>
      <w:r w:rsidRPr="0060549D">
        <w:rPr>
          <w:rFonts w:hint="cs"/>
          <w:rtl/>
        </w:rPr>
        <w:t>גבה</w:t>
      </w:r>
      <w:r w:rsidRPr="0060549D">
        <w:rPr>
          <w:rtl/>
        </w:rPr>
        <w:t xml:space="preserve"> או דרש בעד שירותיו שכר שהוא למעלה מן הקבוע מכוחו של חוק זה, או גבה או דרש, ללא טעם מספיק, שכר שהוא למטה מן הקבוע מכוחו של חוק זה".</w:t>
      </w:r>
    </w:p>
    <w:p w14:paraId="14618F47" w14:textId="2B6D83E8" w:rsidR="009C04B9" w:rsidRPr="0060549D" w:rsidRDefault="009C04B9" w:rsidP="00587356">
      <w:pPr>
        <w:pStyle w:val="Hesber"/>
        <w:rPr>
          <w:rtl/>
        </w:rPr>
      </w:pPr>
      <w:r w:rsidRPr="0060549D">
        <w:rPr>
          <w:rtl/>
        </w:rPr>
        <w:t xml:space="preserve">בניגוד לחוקים שונים, </w:t>
      </w:r>
      <w:r w:rsidRPr="0060549D">
        <w:rPr>
          <w:rFonts w:hint="cs"/>
          <w:rtl/>
        </w:rPr>
        <w:t>ש</w:t>
      </w:r>
      <w:r w:rsidRPr="0060549D">
        <w:rPr>
          <w:rtl/>
        </w:rPr>
        <w:t xml:space="preserve">בהם נקבע מחיר מקסימום עבור מצרכים ושירותים, בחוק זה נקבע כי המחיר הקבוע בתקנות הוא גם מחיר מינימום. כלומר, הנוטריון חייב ככלל (למעט </w:t>
      </w:r>
      <w:r w:rsidRPr="0060549D">
        <w:rPr>
          <w:rFonts w:hint="cs"/>
          <w:rtl/>
        </w:rPr>
        <w:t>ב</w:t>
      </w:r>
      <w:r w:rsidRPr="0060549D">
        <w:rPr>
          <w:rtl/>
        </w:rPr>
        <w:t>מקרים חריגים)</w:t>
      </w:r>
      <w:r w:rsidR="001F04F0">
        <w:rPr>
          <w:rFonts w:hint="cs"/>
          <w:rtl/>
        </w:rPr>
        <w:t>,</w:t>
      </w:r>
      <w:r w:rsidRPr="0060549D">
        <w:rPr>
          <w:rtl/>
        </w:rPr>
        <w:t xml:space="preserve"> לגבות את המחיר הקבוע ולא למטה מכך. </w:t>
      </w:r>
      <w:r w:rsidRPr="0060549D">
        <w:rPr>
          <w:rFonts w:hint="cs"/>
          <w:rtl/>
        </w:rPr>
        <w:t>כ</w:t>
      </w:r>
      <w:r w:rsidRPr="0060549D">
        <w:rPr>
          <w:rtl/>
        </w:rPr>
        <w:t>פועל יוצא</w:t>
      </w:r>
      <w:r w:rsidRPr="0060549D">
        <w:rPr>
          <w:rFonts w:hint="cs"/>
          <w:rtl/>
        </w:rPr>
        <w:t>,</w:t>
      </w:r>
      <w:r w:rsidRPr="0060549D">
        <w:rPr>
          <w:rtl/>
        </w:rPr>
        <w:t xml:space="preserve"> נוטריון הגובה שכר נמוך מהקבוע בתקנות ללא טעם מספיק עובר עבירה אתית וצפוי לעמוד לדין משמעתי.</w:t>
      </w:r>
    </w:p>
    <w:p w14:paraId="7DC26264" w14:textId="174C5113" w:rsidR="009C04B9" w:rsidRDefault="009C04B9" w:rsidP="008A14FD">
      <w:pPr>
        <w:pStyle w:val="Hesber"/>
        <w:rPr>
          <w:rtl/>
        </w:rPr>
      </w:pPr>
      <w:r>
        <w:rPr>
          <w:rFonts w:hint="cs"/>
          <w:rtl/>
        </w:rPr>
        <w:t>איסור זה</w:t>
      </w:r>
      <w:r w:rsidRPr="0060549D">
        <w:rPr>
          <w:rtl/>
        </w:rPr>
        <w:t xml:space="preserve"> פוגע </w:t>
      </w:r>
      <w:r>
        <w:rPr>
          <w:rFonts w:hint="cs"/>
          <w:rtl/>
        </w:rPr>
        <w:t>ב</w:t>
      </w:r>
      <w:r w:rsidRPr="0060549D">
        <w:rPr>
          <w:rtl/>
        </w:rPr>
        <w:t>זוגות צעירים הרוכשים דירה</w:t>
      </w:r>
      <w:r>
        <w:rPr>
          <w:rFonts w:hint="cs"/>
          <w:rtl/>
        </w:rPr>
        <w:t>,</w:t>
      </w:r>
      <w:r w:rsidRPr="0060549D">
        <w:rPr>
          <w:rtl/>
        </w:rPr>
        <w:t xml:space="preserve"> בעולים חדשים הנדרשים לאשר תרגום של תעודות שונות באישור נוטריוני</w:t>
      </w:r>
      <w:r w:rsidRPr="0060549D">
        <w:rPr>
          <w:rFonts w:hint="cs"/>
          <w:rtl/>
        </w:rPr>
        <w:t>,</w:t>
      </w:r>
      <w:r w:rsidRPr="0060549D">
        <w:rPr>
          <w:rtl/>
        </w:rPr>
        <w:t xml:space="preserve"> כגון</w:t>
      </w:r>
      <w:r>
        <w:rPr>
          <w:rFonts w:hint="cs"/>
          <w:rtl/>
        </w:rPr>
        <w:t>:</w:t>
      </w:r>
      <w:r w:rsidRPr="0060549D">
        <w:rPr>
          <w:rtl/>
        </w:rPr>
        <w:t xml:space="preserve"> תעודת לידה, תעודת נישואין, תעודת בגרות, תעודת פטירה</w:t>
      </w:r>
      <w:r w:rsidR="00D62CB8">
        <w:rPr>
          <w:rFonts w:hint="cs"/>
          <w:rtl/>
        </w:rPr>
        <w:t>,</w:t>
      </w:r>
      <w:r>
        <w:rPr>
          <w:rFonts w:hint="cs"/>
          <w:rtl/>
        </w:rPr>
        <w:t xml:space="preserve"> ובסתם אזרחים </w:t>
      </w:r>
      <w:r w:rsidR="008A14FD">
        <w:rPr>
          <w:rFonts w:hint="cs"/>
          <w:rtl/>
        </w:rPr>
        <w:t>וגופים ה</w:t>
      </w:r>
      <w:r>
        <w:rPr>
          <w:rFonts w:hint="cs"/>
          <w:rtl/>
        </w:rPr>
        <w:t>זקוקים לשירות נוטריוני.</w:t>
      </w:r>
    </w:p>
    <w:p w14:paraId="2545A119" w14:textId="23E952D9" w:rsidR="009C04B9" w:rsidRPr="0060549D" w:rsidRDefault="009C04B9" w:rsidP="009C04B9">
      <w:pPr>
        <w:pStyle w:val="Hesber"/>
        <w:rPr>
          <w:rtl/>
        </w:rPr>
      </w:pPr>
      <w:r w:rsidRPr="0060549D">
        <w:rPr>
          <w:rtl/>
        </w:rPr>
        <w:t>במקרים מסוימים</w:t>
      </w:r>
      <w:r w:rsidR="00F21120">
        <w:rPr>
          <w:rFonts w:hint="cs"/>
          <w:rtl/>
        </w:rPr>
        <w:t>,</w:t>
      </w:r>
      <w:r w:rsidRPr="0060549D">
        <w:rPr>
          <w:rFonts w:hint="cs"/>
          <w:rtl/>
        </w:rPr>
        <w:t xml:space="preserve"> </w:t>
      </w:r>
      <w:r w:rsidRPr="0060549D">
        <w:rPr>
          <w:rtl/>
        </w:rPr>
        <w:t>כגון אישור תרגום של מספר תעודות ממשלתיות</w:t>
      </w:r>
      <w:r>
        <w:rPr>
          <w:rFonts w:hint="cs"/>
          <w:rtl/>
        </w:rPr>
        <w:t>, התשלום עבור אישור הנוטריון בלבד (</w:t>
      </w:r>
      <w:r w:rsidRPr="0060549D">
        <w:rPr>
          <w:rtl/>
        </w:rPr>
        <w:t xml:space="preserve">לא </w:t>
      </w:r>
      <w:r>
        <w:rPr>
          <w:rFonts w:hint="cs"/>
          <w:rtl/>
        </w:rPr>
        <w:t xml:space="preserve">כולל </w:t>
      </w:r>
      <w:r w:rsidRPr="0060549D">
        <w:rPr>
          <w:rtl/>
        </w:rPr>
        <w:t>תשלום עבור התרגום עצמו</w:t>
      </w:r>
      <w:r>
        <w:rPr>
          <w:rFonts w:hint="cs"/>
          <w:rtl/>
        </w:rPr>
        <w:t xml:space="preserve">), יכול לעמוד על </w:t>
      </w:r>
      <w:r w:rsidRPr="0060549D">
        <w:rPr>
          <w:rFonts w:hint="cs"/>
          <w:rtl/>
        </w:rPr>
        <w:t>אלפי שקלים</w:t>
      </w:r>
      <w:r>
        <w:rPr>
          <w:rFonts w:hint="cs"/>
          <w:rtl/>
        </w:rPr>
        <w:t>!</w:t>
      </w:r>
    </w:p>
    <w:p w14:paraId="7B41FED7" w14:textId="43C0D3ED" w:rsidR="009C04B9" w:rsidRPr="0060549D" w:rsidRDefault="009C04B9" w:rsidP="009C04B9">
      <w:pPr>
        <w:pStyle w:val="Hesber"/>
        <w:rPr>
          <w:rtl/>
        </w:rPr>
      </w:pPr>
      <w:r w:rsidRPr="0060549D">
        <w:rPr>
          <w:rtl/>
        </w:rPr>
        <w:t>בעבר ה</w:t>
      </w:r>
      <w:r>
        <w:rPr>
          <w:rFonts w:hint="cs"/>
          <w:rtl/>
        </w:rPr>
        <w:t>י</w:t>
      </w:r>
      <w:r w:rsidRPr="0060549D">
        <w:rPr>
          <w:rtl/>
        </w:rPr>
        <w:t xml:space="preserve">יתה הוראה דומה בעניין שכר טרחה מינימאלי גם לגבי שירותים שניתנים על ידי עורכי דין, </w:t>
      </w:r>
      <w:r w:rsidRPr="0060549D">
        <w:rPr>
          <w:rFonts w:hint="cs"/>
          <w:rtl/>
        </w:rPr>
        <w:t>ו</w:t>
      </w:r>
      <w:r w:rsidRPr="0060549D">
        <w:rPr>
          <w:rtl/>
        </w:rPr>
        <w:t>סטי</w:t>
      </w:r>
      <w:r w:rsidRPr="0060549D">
        <w:rPr>
          <w:rFonts w:hint="cs"/>
          <w:rtl/>
        </w:rPr>
        <w:t>יה</w:t>
      </w:r>
      <w:r w:rsidRPr="0060549D">
        <w:rPr>
          <w:rtl/>
        </w:rPr>
        <w:t xml:space="preserve"> </w:t>
      </w:r>
      <w:r w:rsidRPr="0060549D">
        <w:rPr>
          <w:rFonts w:hint="cs"/>
          <w:rtl/>
        </w:rPr>
        <w:t>מהתעריף</w:t>
      </w:r>
      <w:r w:rsidRPr="0060549D">
        <w:rPr>
          <w:rtl/>
        </w:rPr>
        <w:t xml:space="preserve"> המינימלי שנקבע בכללי לשכת עורכי הדין הי</w:t>
      </w:r>
      <w:r>
        <w:rPr>
          <w:rFonts w:hint="cs"/>
          <w:rtl/>
        </w:rPr>
        <w:t>י</w:t>
      </w:r>
      <w:r w:rsidRPr="0060549D">
        <w:rPr>
          <w:rtl/>
        </w:rPr>
        <w:t>תה עבירת משמעת. בסעיף 81 לחוק לשכת עורכי הדין</w:t>
      </w:r>
      <w:r w:rsidRPr="0060549D">
        <w:rPr>
          <w:rFonts w:hint="cs"/>
          <w:rtl/>
        </w:rPr>
        <w:t xml:space="preserve">, התשכ"א–1961, היה קבוע כי "המועצה הארצית של הלשכה רשאית לקבוע תעריף </w:t>
      </w:r>
      <w:r w:rsidRPr="0060549D">
        <w:rPr>
          <w:rFonts w:hint="cs"/>
          <w:rtl/>
        </w:rPr>
        <w:lastRenderedPageBreak/>
        <w:t>מינימלי לשכר טרחה בעד שירותי עורכי דין; משנקבע בתעריף שכר מינימלי לשירות מסוי</w:t>
      </w:r>
      <w:r w:rsidRPr="0060549D">
        <w:rPr>
          <w:rtl/>
        </w:rPr>
        <w:t>ם, לא יתנה ולא יקבל עורך דין שכר נמוך ממנו"</w:t>
      </w:r>
      <w:r w:rsidRPr="0060549D">
        <w:rPr>
          <w:rFonts w:hint="cs"/>
          <w:rtl/>
        </w:rPr>
        <w:t>.</w:t>
      </w:r>
      <w:r w:rsidRPr="0060549D">
        <w:rPr>
          <w:rtl/>
        </w:rPr>
        <w:t xml:space="preserve"> </w:t>
      </w:r>
      <w:r w:rsidRPr="0060549D">
        <w:rPr>
          <w:rFonts w:hint="cs"/>
          <w:rtl/>
        </w:rPr>
        <w:t>בשנת 1992, בעקבות</w:t>
      </w:r>
      <w:r w:rsidRPr="0060549D">
        <w:rPr>
          <w:rtl/>
        </w:rPr>
        <w:t xml:space="preserve"> </w:t>
      </w:r>
      <w:r w:rsidRPr="0060549D">
        <w:rPr>
          <w:rFonts w:hint="cs"/>
          <w:rtl/>
        </w:rPr>
        <w:t>סעיף</w:t>
      </w:r>
      <w:r w:rsidRPr="0060549D">
        <w:rPr>
          <w:rtl/>
        </w:rPr>
        <w:t xml:space="preserve"> 31 </w:t>
      </w:r>
      <w:r w:rsidRPr="0060549D">
        <w:rPr>
          <w:rFonts w:hint="cs"/>
          <w:rtl/>
        </w:rPr>
        <w:t>לחוק</w:t>
      </w:r>
      <w:r w:rsidRPr="0060549D">
        <w:rPr>
          <w:rtl/>
        </w:rPr>
        <w:t xml:space="preserve"> </w:t>
      </w:r>
      <w:r w:rsidRPr="0060549D">
        <w:rPr>
          <w:rFonts w:hint="cs"/>
          <w:rtl/>
        </w:rPr>
        <w:t>ההסדרים</w:t>
      </w:r>
      <w:r w:rsidRPr="0060549D">
        <w:rPr>
          <w:rtl/>
        </w:rPr>
        <w:t xml:space="preserve"> במשק (תיקוני חקיקה להשגת יעדי התקציב), התשנ"ג</w:t>
      </w:r>
      <w:r w:rsidRPr="0060549D">
        <w:rPr>
          <w:rFonts w:hint="cs"/>
          <w:rtl/>
        </w:rPr>
        <w:t>–</w:t>
      </w:r>
      <w:r w:rsidRPr="0060549D">
        <w:rPr>
          <w:rtl/>
        </w:rPr>
        <w:t xml:space="preserve">1992, </w:t>
      </w:r>
      <w:r w:rsidRPr="0060549D">
        <w:rPr>
          <w:rFonts w:hint="cs"/>
          <w:rtl/>
        </w:rPr>
        <w:t>תוקן סעיף זה</w:t>
      </w:r>
      <w:r w:rsidRPr="0060549D">
        <w:rPr>
          <w:rtl/>
        </w:rPr>
        <w:t xml:space="preserve"> ונקבע כי "המועצה הארצית של הלשכה רשאית לקבוע תעריף מינימלי לשכר טרחה בעד שירותי עורכי דין, שיהיה בבחינת המלצה לחברי הלשכה, אך לא יחייבם".</w:t>
      </w:r>
      <w:r w:rsidRPr="0060549D">
        <w:rPr>
          <w:rFonts w:hint="cs"/>
          <w:rtl/>
        </w:rPr>
        <w:t xml:space="preserve"> כלומר, עורך דין יכול לגבות תעריף העומד על פחות מהתעריף הקבוע בכללי לשכת עורכי הדין, וסטייה</w:t>
      </w:r>
      <w:r w:rsidRPr="0060549D">
        <w:rPr>
          <w:rtl/>
        </w:rPr>
        <w:t xml:space="preserve"> </w:t>
      </w:r>
      <w:r w:rsidRPr="0060549D">
        <w:rPr>
          <w:rFonts w:hint="cs"/>
          <w:rtl/>
        </w:rPr>
        <w:t>כזו</w:t>
      </w:r>
      <w:r w:rsidRPr="0060549D">
        <w:rPr>
          <w:rtl/>
        </w:rPr>
        <w:t xml:space="preserve"> </w:t>
      </w:r>
      <w:r w:rsidRPr="0060549D">
        <w:rPr>
          <w:rFonts w:hint="cs"/>
          <w:rtl/>
        </w:rPr>
        <w:t>כבר אינה מהווה</w:t>
      </w:r>
      <w:r w:rsidRPr="0060549D">
        <w:rPr>
          <w:rtl/>
        </w:rPr>
        <w:t xml:space="preserve"> עבירת משמעת.</w:t>
      </w:r>
    </w:p>
    <w:p w14:paraId="2DDA783D" w14:textId="77777777" w:rsidR="009C04B9" w:rsidRPr="0060549D" w:rsidRDefault="009C04B9" w:rsidP="009C04B9">
      <w:pPr>
        <w:pStyle w:val="Hesber"/>
        <w:rPr>
          <w:rtl/>
        </w:rPr>
      </w:pPr>
      <w:r w:rsidRPr="0060549D">
        <w:rPr>
          <w:rtl/>
        </w:rPr>
        <w:t>בדברי ההסבר לתיקון האמור לחוק לשכת עורכי הדין נכתב בין היתר כי "קיומו של תעריף מינימום אצל עורכי הדין גורם להעלאה מלאכותית של מחיר השירות הניתן על ידם ומנוגד לחוקי הכלכלה של שוק חופשי ותחרותי. החוק יו</w:t>
      </w:r>
      <w:r w:rsidRPr="0060549D">
        <w:rPr>
          <w:rFonts w:hint="cs"/>
          <w:rtl/>
        </w:rPr>
        <w:t>צר למעשה כעין קרטל שלא אושר על ידי הממונה על ההגבלים העסקיים. מוצע לצמצם את סמכותה זו של המועצה ולקבוע כי תעריפי המינימום שלה יהיו בגדר המלצה בלבד, אך לא יחייבו והפרתם לא תהווה עבירת משמעת" (ה"ח 2143). דברים אלו נכונים ביתר שאת</w:t>
      </w:r>
      <w:r w:rsidRPr="0060549D">
        <w:rPr>
          <w:rtl/>
        </w:rPr>
        <w:t xml:space="preserve"> גם בעניין תעריפי הנוטריונים.</w:t>
      </w:r>
    </w:p>
    <w:p w14:paraId="314398FF" w14:textId="77777777" w:rsidR="009C04B9" w:rsidRPr="0060549D" w:rsidRDefault="009C04B9" w:rsidP="009C04B9">
      <w:pPr>
        <w:pStyle w:val="Hesber"/>
        <w:rPr>
          <w:rtl/>
        </w:rPr>
      </w:pPr>
      <w:r w:rsidRPr="0060549D">
        <w:rPr>
          <w:rtl/>
        </w:rPr>
        <w:t xml:space="preserve">יוזמי התיקון בחוק ההסדרים הנ"ל לא </w:t>
      </w:r>
      <w:r>
        <w:rPr>
          <w:rFonts w:hint="cs"/>
          <w:rtl/>
        </w:rPr>
        <w:t>התייחסו</w:t>
      </w:r>
      <w:r w:rsidRPr="0060549D">
        <w:rPr>
          <w:rtl/>
        </w:rPr>
        <w:t xml:space="preserve"> </w:t>
      </w:r>
      <w:r>
        <w:rPr>
          <w:rFonts w:hint="cs"/>
          <w:rtl/>
        </w:rPr>
        <w:t>ל</w:t>
      </w:r>
      <w:r w:rsidRPr="0060549D">
        <w:rPr>
          <w:rtl/>
        </w:rPr>
        <w:t>חוק הנוטריונים</w:t>
      </w:r>
      <w:r>
        <w:rPr>
          <w:rFonts w:hint="cs"/>
          <w:rtl/>
        </w:rPr>
        <w:t>,</w:t>
      </w:r>
      <w:r w:rsidRPr="0060549D">
        <w:rPr>
          <w:rtl/>
        </w:rPr>
        <w:t xml:space="preserve"> </w:t>
      </w:r>
      <w:r>
        <w:rPr>
          <w:rFonts w:hint="cs"/>
          <w:rtl/>
        </w:rPr>
        <w:t>ש</w:t>
      </w:r>
      <w:r w:rsidRPr="0060549D">
        <w:rPr>
          <w:rtl/>
        </w:rPr>
        <w:t>קובע</w:t>
      </w:r>
      <w:r>
        <w:rPr>
          <w:rFonts w:hint="cs"/>
          <w:rtl/>
        </w:rPr>
        <w:t xml:space="preserve"> </w:t>
      </w:r>
      <w:r w:rsidRPr="0060549D">
        <w:rPr>
          <w:rtl/>
        </w:rPr>
        <w:t xml:space="preserve">אף הוא מחיר שלא ניתן על דרך הכלל לגבות תשלום נמוך </w:t>
      </w:r>
      <w:r w:rsidRPr="0060549D">
        <w:rPr>
          <w:rFonts w:hint="cs"/>
          <w:rtl/>
        </w:rPr>
        <w:t>ממנו</w:t>
      </w:r>
      <w:r w:rsidRPr="0060549D">
        <w:rPr>
          <w:rtl/>
        </w:rPr>
        <w:t xml:space="preserve">. </w:t>
      </w:r>
      <w:r w:rsidRPr="0060549D">
        <w:rPr>
          <w:rFonts w:hint="cs"/>
          <w:rtl/>
        </w:rPr>
        <w:t>נוכח</w:t>
      </w:r>
      <w:r w:rsidRPr="0060549D">
        <w:rPr>
          <w:rtl/>
        </w:rPr>
        <w:t xml:space="preserve"> האמור מוצע לתקן עיוות היסטורי זה.</w:t>
      </w:r>
    </w:p>
    <w:p w14:paraId="09514A81" w14:textId="77777777" w:rsidR="009C04B9" w:rsidRPr="0060549D" w:rsidRDefault="009C04B9" w:rsidP="009C04B9">
      <w:pPr>
        <w:pStyle w:val="Hesber"/>
        <w:rPr>
          <w:rtl/>
        </w:rPr>
      </w:pPr>
      <w:r w:rsidRPr="0060549D">
        <w:rPr>
          <w:rtl/>
        </w:rPr>
        <w:t>ההתפתחויות האחרונות, ובפרט מסקנות הוועדה לשינוי חברתי</w:t>
      </w:r>
      <w:r w:rsidRPr="0060549D">
        <w:rPr>
          <w:rFonts w:hint="cs"/>
          <w:rtl/>
        </w:rPr>
        <w:t>-</w:t>
      </w:r>
      <w:r w:rsidRPr="0060549D">
        <w:rPr>
          <w:rtl/>
        </w:rPr>
        <w:t>כלכלי (ועדת טרכטנברג) והוועדה לקידום התחרותיות במשק, מחזקות את הצורך הדחוף לפתוח לתחרות את הענף היחיד שעדיין אינו פתוח לתחרות.</w:t>
      </w:r>
    </w:p>
    <w:p w14:paraId="0EA3DE81" w14:textId="77777777" w:rsidR="009C04B9" w:rsidRPr="0060549D" w:rsidRDefault="009C04B9" w:rsidP="009C04B9">
      <w:pPr>
        <w:pStyle w:val="Hesber"/>
        <w:rPr>
          <w:rtl/>
        </w:rPr>
      </w:pPr>
      <w:r w:rsidRPr="0060549D">
        <w:rPr>
          <w:rtl/>
        </w:rPr>
        <w:t>לפי הצעת החוק</w:t>
      </w:r>
      <w:r w:rsidRPr="0060549D">
        <w:rPr>
          <w:rFonts w:hint="cs"/>
          <w:rtl/>
        </w:rPr>
        <w:t>,</w:t>
      </w:r>
      <w:r w:rsidRPr="0060549D">
        <w:rPr>
          <w:rtl/>
        </w:rPr>
        <w:t xml:space="preserve"> התעריף שנקבע בתקנות יהיה מחיר מקסימום בלבד, </w:t>
      </w:r>
      <w:r w:rsidRPr="0060549D">
        <w:rPr>
          <w:rFonts w:hint="cs"/>
          <w:rtl/>
        </w:rPr>
        <w:t>ו</w:t>
      </w:r>
      <w:r w:rsidRPr="0060549D">
        <w:rPr>
          <w:rtl/>
        </w:rPr>
        <w:t xml:space="preserve">כל נוטריון יוכל לגבות תעריף כראות עיניו, ובלבד שלא </w:t>
      </w:r>
      <w:r>
        <w:rPr>
          <w:rFonts w:hint="cs"/>
          <w:rtl/>
        </w:rPr>
        <w:t xml:space="preserve">יחרוג </w:t>
      </w:r>
      <w:r w:rsidRPr="0060549D">
        <w:rPr>
          <w:rtl/>
        </w:rPr>
        <w:t xml:space="preserve"> </w:t>
      </w:r>
      <w:r>
        <w:rPr>
          <w:rFonts w:hint="cs"/>
          <w:rtl/>
        </w:rPr>
        <w:t>מ</w:t>
      </w:r>
      <w:r w:rsidRPr="0060549D">
        <w:rPr>
          <w:rtl/>
        </w:rPr>
        <w:t>התעריף המקסימלי.</w:t>
      </w:r>
    </w:p>
    <w:p w14:paraId="3F9BB1B6" w14:textId="3A8FFE9C" w:rsidR="009C04B9" w:rsidRPr="0060549D" w:rsidRDefault="009C04B9" w:rsidP="001211F6">
      <w:pPr>
        <w:pStyle w:val="Hesber"/>
        <w:rPr>
          <w:rtl/>
        </w:rPr>
      </w:pPr>
      <w:r w:rsidRPr="0060549D">
        <w:rPr>
          <w:rFonts w:hint="cs"/>
          <w:rtl/>
        </w:rPr>
        <w:t>הצע</w:t>
      </w:r>
      <w:r w:rsidR="006A41AD">
        <w:rPr>
          <w:rFonts w:hint="cs"/>
          <w:rtl/>
        </w:rPr>
        <w:t>ות חוק זהות הונחו</w:t>
      </w:r>
      <w:r w:rsidRPr="0060549D">
        <w:rPr>
          <w:rFonts w:hint="cs"/>
          <w:rtl/>
        </w:rPr>
        <w:t xml:space="preserve"> על שולחן הכנסת התשע</w:t>
      </w:r>
      <w:r>
        <w:rPr>
          <w:rFonts w:hint="cs"/>
          <w:rtl/>
        </w:rPr>
        <w:t>-</w:t>
      </w:r>
      <w:r w:rsidRPr="0060549D">
        <w:rPr>
          <w:rFonts w:hint="cs"/>
          <w:rtl/>
        </w:rPr>
        <w:t xml:space="preserve">עשרה </w:t>
      </w:r>
      <w:r w:rsidR="001211F6">
        <w:rPr>
          <w:rFonts w:hint="cs"/>
          <w:rtl/>
        </w:rPr>
        <w:t>ו</w:t>
      </w:r>
      <w:r w:rsidR="001211F6" w:rsidRPr="0060549D">
        <w:rPr>
          <w:rFonts w:hint="cs"/>
          <w:rtl/>
        </w:rPr>
        <w:t>על שולחן הכנסת ה</w:t>
      </w:r>
      <w:r w:rsidR="001211F6">
        <w:rPr>
          <w:rFonts w:hint="cs"/>
          <w:rtl/>
        </w:rPr>
        <w:t>עשרים</w:t>
      </w:r>
      <w:r w:rsidR="001211F6" w:rsidRPr="0060549D">
        <w:rPr>
          <w:rFonts w:hint="cs"/>
          <w:rtl/>
        </w:rPr>
        <w:t xml:space="preserve"> </w:t>
      </w:r>
      <w:r w:rsidRPr="0060549D">
        <w:rPr>
          <w:rFonts w:hint="cs"/>
          <w:rtl/>
        </w:rPr>
        <w:t xml:space="preserve">על ידי חבר הכנסת משה גפני וקבוצת חברי </w:t>
      </w:r>
      <w:r>
        <w:rPr>
          <w:rFonts w:hint="cs"/>
          <w:rtl/>
        </w:rPr>
        <w:t>ה</w:t>
      </w:r>
      <w:r w:rsidRPr="0060549D">
        <w:rPr>
          <w:rFonts w:hint="cs"/>
          <w:rtl/>
        </w:rPr>
        <w:t>כנסת (פ/2433/19</w:t>
      </w:r>
      <w:r w:rsidR="001211F6">
        <w:rPr>
          <w:rFonts w:hint="cs"/>
          <w:rtl/>
        </w:rPr>
        <w:t xml:space="preserve">; </w:t>
      </w:r>
      <w:r>
        <w:rPr>
          <w:rFonts w:hint="cs"/>
          <w:rtl/>
        </w:rPr>
        <w:t>פ/1599/20).</w:t>
      </w:r>
    </w:p>
    <w:p w14:paraId="7F6961CB" w14:textId="77777777" w:rsidR="00E13C27" w:rsidRDefault="00E13C27" w:rsidP="00E13C27">
      <w:pPr>
        <w:pStyle w:val="Hesber"/>
        <w:rPr>
          <w:rtl/>
        </w:rPr>
      </w:pPr>
    </w:p>
    <w:p w14:paraId="4127775F" w14:textId="77777777" w:rsidR="001211F6" w:rsidRDefault="001211F6" w:rsidP="00E13C27">
      <w:pPr>
        <w:pStyle w:val="Hesber"/>
        <w:rPr>
          <w:rtl/>
        </w:rPr>
      </w:pPr>
    </w:p>
    <w:p w14:paraId="221B430B" w14:textId="77777777" w:rsidR="001211F6" w:rsidRDefault="001211F6" w:rsidP="00E13C27">
      <w:pPr>
        <w:pStyle w:val="Hesber"/>
        <w:rPr>
          <w:rtl/>
        </w:rPr>
      </w:pPr>
      <w:bookmarkStart w:id="8" w:name="_GoBack"/>
      <w:bookmarkEnd w:id="8"/>
    </w:p>
    <w:p w14:paraId="69038637" w14:textId="77777777" w:rsidR="001D0F39" w:rsidRDefault="001211F6">
      <w:pPr>
        <w:spacing w:before="0" w:line="360" w:lineRule="auto"/>
        <w:jc w:val="left"/>
      </w:pPr>
      <w:bookmarkStart w:id="9" w:name="selectedDocDateB"/>
      <w:bookmarkEnd w:id="9"/>
      <w:r>
        <w:rPr>
          <w:rFonts w:ascii="David" w:eastAsia="David" w:hAnsi="David" w:cs="David" w:hint="cs"/>
          <w:sz w:val="26"/>
          <w:szCs w:val="26"/>
          <w:rtl/>
        </w:rPr>
        <w:t>--------------------------------</w:t>
      </w:r>
    </w:p>
    <w:p w14:paraId="4740EDE8" w14:textId="77777777" w:rsidR="001D0F39" w:rsidRDefault="001211F6">
      <w:pPr>
        <w:spacing w:before="0" w:line="360" w:lineRule="auto"/>
        <w:jc w:val="left"/>
      </w:pPr>
      <w:r>
        <w:rPr>
          <w:rFonts w:ascii="David" w:eastAsia="David" w:hAnsi="David" w:cs="David" w:hint="cs"/>
          <w:sz w:val="26"/>
          <w:szCs w:val="26"/>
          <w:rtl/>
        </w:rPr>
        <w:t xml:space="preserve">הוגשה ליו"ר </w:t>
      </w:r>
      <w:r>
        <w:rPr>
          <w:rFonts w:ascii="David" w:eastAsia="David" w:hAnsi="David" w:cs="David" w:hint="cs"/>
          <w:sz w:val="26"/>
          <w:szCs w:val="26"/>
          <w:rtl/>
        </w:rPr>
        <w:t>הכנסת והסגנים</w:t>
      </w:r>
    </w:p>
    <w:p w14:paraId="20F3B5C6" w14:textId="77777777" w:rsidR="001D0F39" w:rsidRDefault="001211F6">
      <w:pPr>
        <w:spacing w:before="0" w:line="360" w:lineRule="auto"/>
        <w:jc w:val="left"/>
      </w:pPr>
      <w:r>
        <w:rPr>
          <w:rFonts w:ascii="David" w:eastAsia="David" w:hAnsi="David" w:cs="David" w:hint="cs"/>
          <w:sz w:val="26"/>
          <w:szCs w:val="26"/>
          <w:rtl/>
        </w:rPr>
        <w:t>והונחה על שולחן הכנסת ביום</w:t>
      </w:r>
    </w:p>
    <w:p w14:paraId="40913443" w14:textId="77777777" w:rsidR="001D0F39" w:rsidRDefault="001211F6">
      <w:pPr>
        <w:spacing w:before="0" w:line="360" w:lineRule="auto"/>
        <w:jc w:val="left"/>
      </w:pPr>
      <w:r>
        <w:rPr>
          <w:rFonts w:ascii="David" w:eastAsia="David" w:hAnsi="David" w:cs="David" w:hint="cs"/>
          <w:sz w:val="26"/>
          <w:szCs w:val="26"/>
          <w:rtl/>
        </w:rPr>
        <w:t xml:space="preserve">ח' באייר התשפ"ב (09.05.2022) </w:t>
      </w:r>
    </w:p>
    <w:p w14:paraId="25C3F10F" w14:textId="77777777" w:rsidR="001D0F39" w:rsidRDefault="001D0F39">
      <w:pPr>
        <w:spacing w:before="0" w:line="276" w:lineRule="auto"/>
        <w:jc w:val="left"/>
      </w:pPr>
    </w:p>
    <w:sectPr w:rsidR="001D0F39"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2C3041" w:rsidRDefault="002C304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1211F6">
      <w:rPr>
        <w:rStyle w:val="aa"/>
        <w:noProof/>
        <w:rtl/>
      </w:rPr>
      <w:t>2</w:t>
    </w:r>
    <w:r>
      <w:rPr>
        <w:rStyle w:val="aa"/>
        <w:rtl/>
      </w:rPr>
      <w:fldChar w:fldCharType="end"/>
    </w:r>
  </w:p>
  <w:p w14:paraId="7F6961D8" w14:textId="77777777" w:rsidR="002C3041" w:rsidRDefault="002C304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52FD6B75" w14:textId="77777777" w:rsidR="009C04B9" w:rsidRDefault="009C04B9" w:rsidP="009C04B9">
      <w:pPr>
        <w:pStyle w:val="a4"/>
      </w:pPr>
      <w:r>
        <w:rPr>
          <w:rStyle w:val="a5"/>
        </w:rPr>
        <w:footnoteRef/>
      </w:r>
      <w:r>
        <w:rPr>
          <w:rtl/>
        </w:rPr>
        <w:t xml:space="preserve"> ס"ח</w:t>
      </w:r>
      <w:r w:rsidRPr="00FA41F9">
        <w:rPr>
          <w:rtl/>
        </w:rPr>
        <w:t xml:space="preserve"> </w:t>
      </w:r>
      <w:r>
        <w:rPr>
          <w:rFonts w:hint="cs"/>
          <w:rtl/>
        </w:rPr>
        <w:t>ה</w:t>
      </w:r>
      <w:r w:rsidRPr="00FA41F9">
        <w:rPr>
          <w:rFonts w:hint="cs"/>
          <w:rtl/>
        </w:rPr>
        <w:t>תשל</w:t>
      </w:r>
      <w:r w:rsidRPr="00FA41F9">
        <w:rPr>
          <w:rtl/>
        </w:rPr>
        <w:t>"</w:t>
      </w:r>
      <w:r w:rsidRPr="00FA41F9">
        <w:rPr>
          <w:rFonts w:hint="cs"/>
          <w:rtl/>
        </w:rPr>
        <w:t>ו</w:t>
      </w:r>
      <w:r>
        <w:rPr>
          <w:rtl/>
        </w:rPr>
        <w:t>, עמ' 1</w:t>
      </w:r>
      <w:r>
        <w:rPr>
          <w:rFonts w:hint="cs"/>
          <w:rtl/>
        </w:rPr>
        <w:t>96</w:t>
      </w:r>
      <w:r>
        <w:rPr>
          <w:rt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1F6"/>
    <w:rsid w:val="00121924"/>
    <w:rsid w:val="001279A8"/>
    <w:rsid w:val="0014195F"/>
    <w:rsid w:val="00152609"/>
    <w:rsid w:val="00153E1B"/>
    <w:rsid w:val="001A0623"/>
    <w:rsid w:val="001C23B0"/>
    <w:rsid w:val="001D0F39"/>
    <w:rsid w:val="001D7AAF"/>
    <w:rsid w:val="001F04F0"/>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C5027"/>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87356"/>
    <w:rsid w:val="005B064E"/>
    <w:rsid w:val="005D51AE"/>
    <w:rsid w:val="0062674B"/>
    <w:rsid w:val="006363B2"/>
    <w:rsid w:val="00644940"/>
    <w:rsid w:val="006818A9"/>
    <w:rsid w:val="006A2D81"/>
    <w:rsid w:val="006A41AD"/>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14FD"/>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C04B9"/>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467F5"/>
    <w:rsid w:val="00C9176A"/>
    <w:rsid w:val="00CF1AA2"/>
    <w:rsid w:val="00D142D3"/>
    <w:rsid w:val="00D17774"/>
    <w:rsid w:val="00D62CB8"/>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21120"/>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702C5EF1-3BC3-4DD3-BCA2-25C67DC22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5">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6">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7">
    <w:name w:val="header"/>
    <w:basedOn w:val="a"/>
    <w:rsid w:val="00B975AD"/>
    <w:pPr>
      <w:tabs>
        <w:tab w:val="center" w:pos="4153"/>
        <w:tab w:val="right" w:pos="8306"/>
      </w:tabs>
    </w:pPr>
  </w:style>
  <w:style w:type="paragraph" w:styleId="a8">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9">
    <w:name w:val="Title"/>
    <w:basedOn w:val="a"/>
    <w:qFormat/>
    <w:rsid w:val="00943386"/>
    <w:pPr>
      <w:jc w:val="center"/>
    </w:pPr>
    <w:rPr>
      <w:rFonts w:cs="David"/>
      <w:b/>
      <w:bCs/>
      <w:sz w:val="28"/>
      <w:szCs w:val="28"/>
      <w:u w:val="single"/>
    </w:rPr>
  </w:style>
  <w:style w:type="character" w:styleId="aa">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b">
    <w:name w:val="Balloon Text"/>
    <w:basedOn w:val="a"/>
    <w:link w:val="ac"/>
    <w:semiHidden/>
    <w:unhideWhenUsed/>
    <w:rsid w:val="00325C14"/>
    <w:pPr>
      <w:spacing w:before="0"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88F7B023-EB56-4E52-BEC4-8486C008D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AFE3-9455-419C-8851-785A55F44517}">
  <ds:schemaRefs>
    <ds:schemaRef ds:uri="http://www.w3.org/XML/1998/namespace"/>
    <ds:schemaRef ds:uri="290d5b49-c690-4c6f-bbb9-1e50dab33eee"/>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http://purl.org/dc/terms/"/>
    <ds:schemaRef ds:uri="http://purl.org/dc/dcmitype/"/>
    <ds:schemaRef ds:uri="http://purl.org/dc/elements/1.1/"/>
  </ds:schemaRefs>
</ds:datastoreItem>
</file>

<file path=customXml/itemProps4.xml><?xml version="1.0" encoding="utf-8"?>
<ds:datastoreItem xmlns:ds="http://schemas.openxmlformats.org/officeDocument/2006/customXml" ds:itemID="{C19700E7-2F01-4E9D-8014-9D2CCC4F4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583</Words>
  <Characters>2917</Characters>
  <Application>Microsoft Office Word</Application>
  <DocSecurity>0</DocSecurity>
  <Lines>24</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רשומות</vt:lpstr>
      <vt:lpstr>רשומות</vt:lpstr>
    </vt:vector>
  </TitlesOfParts>
  <Company>Knesset</Company>
  <LinksUpToDate>false</LinksUpToDate>
  <CharactersWithSpaces>3494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דפנה ברנאי</cp:lastModifiedBy>
  <cp:revision>13</cp:revision>
  <cp:lastPrinted>2022-04-24T08:55:00Z</cp:lastPrinted>
  <dcterms:created xsi:type="dcterms:W3CDTF">2015-04-20T09:58:00Z</dcterms:created>
  <dcterms:modified xsi:type="dcterms:W3CDTF">2022-04-24T08:55:00Z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2190731</vt:r8>
  </property>
</Properties>
</file>